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F1A0" w14:textId="0F61FCBD" w:rsidR="00132C60" w:rsidRDefault="00132C60" w:rsidP="00132C60">
      <w:pPr>
        <w:pStyle w:val="CABEZA"/>
        <w:rPr>
          <w:rFonts w:cs="Times New Roman"/>
        </w:rPr>
      </w:pPr>
      <w:bookmarkStart w:id="0" w:name="_Hlk191881067"/>
      <w:r w:rsidRPr="000E4910">
        <w:rPr>
          <w:rFonts w:cs="Times New Roman"/>
        </w:rPr>
        <w:t>SECRETARIA DE HACIENDA Y CREDITO PUBLICO</w:t>
      </w:r>
      <w:bookmarkEnd w:id="0"/>
    </w:p>
    <w:p w14:paraId="154C8EA9" w14:textId="4789C4AD" w:rsidR="00132C60" w:rsidRPr="000E4910" w:rsidRDefault="00132C60" w:rsidP="00132C60">
      <w:pPr>
        <w:pStyle w:val="Titulo1"/>
        <w:rPr>
          <w:rFonts w:cs="Times New Roman"/>
        </w:rPr>
      </w:pPr>
      <w:r w:rsidRPr="000E4910">
        <w:rPr>
          <w:rFonts w:cs="Times New Roman"/>
        </w:rPr>
        <w:t>ACUERDO por el cual se dan a conocer los montos de los estímulos fiscales aplicables a la enajenación de gasolinas en la región fronteriza con Guatemala, correspondientes al periodo que se especifica.</w:t>
      </w:r>
    </w:p>
    <w:p w14:paraId="3509B765" w14:textId="77777777" w:rsidR="00132C60" w:rsidRPr="000E4910" w:rsidRDefault="00132C60" w:rsidP="00132C60">
      <w:pPr>
        <w:pStyle w:val="Titulo2"/>
      </w:pPr>
      <w:r w:rsidRPr="000E4910">
        <w:t xml:space="preserve">Al margen un sello con el Escudo Nacional, que dice: Estados Unidos </w:t>
      </w:r>
      <w:proofErr w:type="gramStart"/>
      <w:r w:rsidRPr="000E4910">
        <w:t>Mexicanos.-</w:t>
      </w:r>
      <w:proofErr w:type="gramEnd"/>
      <w:r w:rsidRPr="000E4910">
        <w:t xml:space="preserve"> Hacienda.- Secretaría de Hacienda y Crédito Público.</w:t>
      </w:r>
    </w:p>
    <w:p w14:paraId="50CD7AE7" w14:textId="77777777" w:rsidR="00132C60" w:rsidRPr="00A22A66" w:rsidRDefault="00132C60" w:rsidP="00132C60">
      <w:pPr>
        <w:pStyle w:val="Texto"/>
        <w:spacing w:line="246" w:lineRule="exact"/>
        <w:rPr>
          <w:sz w:val="16"/>
          <w:szCs w:val="24"/>
        </w:rPr>
      </w:pPr>
      <w:r w:rsidRPr="00A22A66">
        <w:rPr>
          <w:sz w:val="16"/>
          <w:szCs w:val="24"/>
        </w:rPr>
        <w:t>ACUERDO 23/2025</w:t>
      </w:r>
    </w:p>
    <w:p w14:paraId="75F0C841" w14:textId="77777777" w:rsidR="00132C60" w:rsidRPr="00A22A66" w:rsidRDefault="00132C60" w:rsidP="00132C60">
      <w:pPr>
        <w:pStyle w:val="Texto"/>
        <w:spacing w:line="246" w:lineRule="exact"/>
        <w:rPr>
          <w:sz w:val="16"/>
        </w:rPr>
      </w:pPr>
      <w:r w:rsidRPr="00A22A66">
        <w:rPr>
          <w:sz w:val="16"/>
        </w:rPr>
        <w:t>ACUERDO POR EL CUAL SE DAN A CONOCER LOS MONTOS DE LOS ESTÍMULOS FISCALES APLICABLES A LA ENAJENACIÓN DE GASOLINAS EN LA REGIÓN FRONTERIZA CON GUATEMALA, CORRESPONDIENTES AL PERIODO QUE SE ESPECIFICA.</w:t>
      </w:r>
    </w:p>
    <w:p w14:paraId="313F6BBC" w14:textId="77777777" w:rsidR="00132C60" w:rsidRDefault="00132C60" w:rsidP="00132C60">
      <w:pPr>
        <w:pStyle w:val="Texto"/>
        <w:spacing w:line="246" w:lineRule="exact"/>
        <w:rPr>
          <w:szCs w:val="24"/>
        </w:rPr>
      </w:pPr>
      <w:r w:rsidRPr="00A22A66">
        <w:rPr>
          <w:szCs w:val="24"/>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y su modificación mediante el Decreto por el que se modifica el diverso por el que se otorgan estímulos fiscales a sectores clave de la industria exportadora consistentes en la deducción inmediata de la inversión en bienes nuevos de activo fijo y la deducción adicional de gastos de</w:t>
      </w:r>
      <w:r w:rsidRPr="00275D43">
        <w:rPr>
          <w:szCs w:val="24"/>
        </w:rPr>
        <w:t xml:space="preserve"> capacitación, el Decreto de estímulos fiscales región fronteriza norte, el Decreto de estímulos fiscales región fronteriza sur, el Decreto por el que se establecen estímulos fiscales en materia del impuesto especial sobre producción y servicios aplicables a los combustibles que se indican, el Decreto por el que se establecen estímulos fiscales complementarios a los combustibles automotrices y el Decreto por el que se establecen estímulos fiscales a la enajenación de los combustibles que se mencionan en la frontera sur de los Estados Unidos Mexicanos, publicado en el Diario Oficial de la Federación el 24 de diciembre de 2024, se dan a conocer los montos de los estímulos fiscales aplicables a la enajenación de gasolinas en los municipios fronterizos con Guatemala, durante el periodo que se indica, mediante el siguiente</w:t>
      </w:r>
    </w:p>
    <w:p w14:paraId="6914EA87" w14:textId="77777777" w:rsidR="00132C60" w:rsidRDefault="00132C60" w:rsidP="00132C60">
      <w:pPr>
        <w:pStyle w:val="ANOTACION"/>
        <w:spacing w:line="246" w:lineRule="exact"/>
      </w:pPr>
      <w:r w:rsidRPr="00275D43">
        <w:t>ACUERDO</w:t>
      </w:r>
    </w:p>
    <w:p w14:paraId="62763813" w14:textId="77777777" w:rsidR="00132C60" w:rsidRPr="00275D43" w:rsidRDefault="00132C60" w:rsidP="00132C60">
      <w:pPr>
        <w:pStyle w:val="Texto"/>
        <w:spacing w:line="246" w:lineRule="exact"/>
        <w:rPr>
          <w:b/>
          <w:bCs/>
          <w:color w:val="000000"/>
          <w:lang w:eastAsia="es-MX"/>
        </w:rPr>
      </w:pPr>
      <w:r w:rsidRPr="00275D43">
        <w:rPr>
          <w:b/>
        </w:rPr>
        <w:t xml:space="preserve">Artículo </w:t>
      </w:r>
      <w:proofErr w:type="gramStart"/>
      <w:r w:rsidRPr="00275D43">
        <w:rPr>
          <w:b/>
        </w:rPr>
        <w:t>Único.-</w:t>
      </w:r>
      <w:proofErr w:type="gramEnd"/>
      <w:r w:rsidRPr="00275D43">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15 al 21 de febrero de 2025.</w:t>
      </w:r>
    </w:p>
    <w:tbl>
      <w:tblPr>
        <w:tblW w:w="5000" w:type="pct"/>
        <w:tblLayout w:type="fixed"/>
        <w:tblCellMar>
          <w:left w:w="70" w:type="dxa"/>
          <w:right w:w="70" w:type="dxa"/>
        </w:tblCellMar>
        <w:tblLook w:val="04A0" w:firstRow="1" w:lastRow="0" w:firstColumn="1" w:lastColumn="0" w:noHBand="0" w:noVBand="1"/>
      </w:tblPr>
      <w:tblGrid>
        <w:gridCol w:w="5894"/>
        <w:gridCol w:w="2948"/>
      </w:tblGrid>
      <w:tr w:rsidR="00132C60" w:rsidRPr="00A22A66" w14:paraId="23E89BE3" w14:textId="77777777" w:rsidTr="000D11DF">
        <w:trPr>
          <w:trHeight w:val="20"/>
        </w:trPr>
        <w:tc>
          <w:tcPr>
            <w:tcW w:w="5000" w:type="pct"/>
            <w:gridSpan w:val="2"/>
            <w:tcBorders>
              <w:top w:val="nil"/>
              <w:left w:val="nil"/>
              <w:bottom w:val="nil"/>
              <w:right w:val="nil"/>
            </w:tcBorders>
            <w:shd w:val="clear" w:color="000000" w:fill="D9D9D9"/>
            <w:vAlign w:val="center"/>
          </w:tcPr>
          <w:p w14:paraId="6C52147B"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Zona I</w:t>
            </w:r>
          </w:p>
        </w:tc>
      </w:tr>
      <w:tr w:rsidR="00132C60" w:rsidRPr="00A22A66" w14:paraId="7B869BAB" w14:textId="77777777" w:rsidTr="000D11DF">
        <w:trPr>
          <w:trHeight w:val="20"/>
        </w:trPr>
        <w:tc>
          <w:tcPr>
            <w:tcW w:w="5000" w:type="pct"/>
            <w:gridSpan w:val="2"/>
            <w:tcBorders>
              <w:top w:val="nil"/>
              <w:left w:val="nil"/>
              <w:bottom w:val="double" w:sz="6" w:space="0" w:color="auto"/>
              <w:right w:val="nil"/>
            </w:tcBorders>
            <w:shd w:val="clear" w:color="auto" w:fill="auto"/>
            <w:vAlign w:val="center"/>
          </w:tcPr>
          <w:p w14:paraId="2DB107D7"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Municipios de Calakmul y Candelaria del Estado de Campeche</w:t>
            </w:r>
          </w:p>
        </w:tc>
      </w:tr>
      <w:tr w:rsidR="00132C60" w:rsidRPr="00A22A66" w14:paraId="65D2E8D3" w14:textId="77777777" w:rsidTr="000D11DF">
        <w:trPr>
          <w:trHeight w:val="20"/>
        </w:trPr>
        <w:tc>
          <w:tcPr>
            <w:tcW w:w="3333" w:type="pct"/>
            <w:tcBorders>
              <w:top w:val="nil"/>
              <w:left w:val="nil"/>
              <w:bottom w:val="nil"/>
              <w:right w:val="nil"/>
            </w:tcBorders>
            <w:shd w:val="clear" w:color="auto" w:fill="auto"/>
            <w:vAlign w:val="center"/>
          </w:tcPr>
          <w:p w14:paraId="760EE3C8"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344568D1" w14:textId="77777777" w:rsidR="00132C60" w:rsidRPr="00A22A66" w:rsidRDefault="00132C60" w:rsidP="000D11DF">
            <w:pPr>
              <w:pStyle w:val="Texto"/>
              <w:spacing w:before="40" w:after="40"/>
              <w:ind w:firstLine="0"/>
              <w:rPr>
                <w:b/>
                <w:bCs/>
                <w:color w:val="000000"/>
                <w:sz w:val="16"/>
                <w:lang w:eastAsia="es-MX"/>
              </w:rPr>
            </w:pPr>
          </w:p>
        </w:tc>
      </w:tr>
      <w:tr w:rsidR="00132C60" w:rsidRPr="00A22A66" w14:paraId="5AC360D3" w14:textId="77777777" w:rsidTr="000D11DF">
        <w:trPr>
          <w:trHeight w:val="20"/>
        </w:trPr>
        <w:tc>
          <w:tcPr>
            <w:tcW w:w="3333" w:type="pct"/>
            <w:tcBorders>
              <w:top w:val="nil"/>
              <w:left w:val="nil"/>
              <w:bottom w:val="nil"/>
              <w:right w:val="nil"/>
            </w:tcBorders>
            <w:shd w:val="clear" w:color="auto" w:fill="auto"/>
            <w:vAlign w:val="center"/>
          </w:tcPr>
          <w:p w14:paraId="673ACAC1"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a)</w:t>
            </w:r>
            <w:r w:rsidRPr="00A22A66">
              <w:rPr>
                <w:color w:val="000000"/>
                <w:sz w:val="16"/>
                <w:lang w:eastAsia="es-MX"/>
              </w:rPr>
              <w:t xml:space="preserve"> Gasolina menor a 91 octanos:</w:t>
            </w:r>
          </w:p>
        </w:tc>
        <w:tc>
          <w:tcPr>
            <w:tcW w:w="1667" w:type="pct"/>
            <w:vAlign w:val="center"/>
          </w:tcPr>
          <w:p w14:paraId="558141BA"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1.880</w:t>
            </w:r>
          </w:p>
        </w:tc>
      </w:tr>
      <w:tr w:rsidR="00132C60" w:rsidRPr="00A22A66" w14:paraId="267A7FD6" w14:textId="77777777" w:rsidTr="000D11DF">
        <w:trPr>
          <w:trHeight w:val="20"/>
        </w:trPr>
        <w:tc>
          <w:tcPr>
            <w:tcW w:w="3333" w:type="pct"/>
            <w:tcBorders>
              <w:top w:val="nil"/>
              <w:left w:val="nil"/>
              <w:bottom w:val="nil"/>
              <w:right w:val="nil"/>
            </w:tcBorders>
            <w:shd w:val="clear" w:color="auto" w:fill="auto"/>
            <w:vAlign w:val="center"/>
          </w:tcPr>
          <w:p w14:paraId="146659D8"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b)</w:t>
            </w:r>
            <w:r w:rsidRPr="00A22A66">
              <w:rPr>
                <w:color w:val="000000"/>
                <w:sz w:val="16"/>
                <w:lang w:eastAsia="es-MX"/>
              </w:rPr>
              <w:t xml:space="preserve"> Gasolina mayor o igual a 91 octanos:</w:t>
            </w:r>
          </w:p>
        </w:tc>
        <w:tc>
          <w:tcPr>
            <w:tcW w:w="1667" w:type="pct"/>
            <w:tcBorders>
              <w:top w:val="nil"/>
              <w:left w:val="nil"/>
              <w:bottom w:val="nil"/>
              <w:right w:val="nil"/>
            </w:tcBorders>
            <w:shd w:val="clear" w:color="auto" w:fill="auto"/>
            <w:vAlign w:val="center"/>
          </w:tcPr>
          <w:p w14:paraId="3591691E"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2.105</w:t>
            </w:r>
          </w:p>
        </w:tc>
      </w:tr>
    </w:tbl>
    <w:p w14:paraId="448709B6" w14:textId="77777777" w:rsidR="00132C60" w:rsidRPr="00A22A66" w:rsidRDefault="00132C60" w:rsidP="00132C60">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4"/>
        <w:gridCol w:w="2948"/>
      </w:tblGrid>
      <w:tr w:rsidR="00132C60" w:rsidRPr="00A22A66" w14:paraId="23ED1DF9" w14:textId="77777777" w:rsidTr="000D11DF">
        <w:trPr>
          <w:trHeight w:val="20"/>
        </w:trPr>
        <w:tc>
          <w:tcPr>
            <w:tcW w:w="5000" w:type="pct"/>
            <w:gridSpan w:val="2"/>
            <w:tcBorders>
              <w:top w:val="nil"/>
              <w:left w:val="nil"/>
              <w:bottom w:val="nil"/>
              <w:right w:val="nil"/>
            </w:tcBorders>
            <w:shd w:val="clear" w:color="000000" w:fill="D9D9D9"/>
            <w:vAlign w:val="center"/>
          </w:tcPr>
          <w:p w14:paraId="0B8C6436"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Zona II</w:t>
            </w:r>
          </w:p>
        </w:tc>
      </w:tr>
      <w:tr w:rsidR="00132C60" w:rsidRPr="00A22A66" w14:paraId="4FBE7A5B" w14:textId="77777777" w:rsidTr="000D11DF">
        <w:trPr>
          <w:trHeight w:val="20"/>
        </w:trPr>
        <w:tc>
          <w:tcPr>
            <w:tcW w:w="5000" w:type="pct"/>
            <w:gridSpan w:val="2"/>
            <w:tcBorders>
              <w:top w:val="nil"/>
              <w:left w:val="nil"/>
              <w:bottom w:val="double" w:sz="6" w:space="0" w:color="auto"/>
              <w:right w:val="nil"/>
            </w:tcBorders>
            <w:shd w:val="clear" w:color="auto" w:fill="auto"/>
            <w:vAlign w:val="center"/>
          </w:tcPr>
          <w:p w14:paraId="5AA38F54"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Municipios de Balancán y Tenosique del Estado de Tabasco</w:t>
            </w:r>
          </w:p>
        </w:tc>
      </w:tr>
      <w:tr w:rsidR="00132C60" w:rsidRPr="00A22A66" w14:paraId="3F0972A1" w14:textId="77777777" w:rsidTr="000D11DF">
        <w:trPr>
          <w:trHeight w:val="20"/>
        </w:trPr>
        <w:tc>
          <w:tcPr>
            <w:tcW w:w="3333" w:type="pct"/>
            <w:tcBorders>
              <w:top w:val="nil"/>
              <w:left w:val="nil"/>
              <w:bottom w:val="nil"/>
              <w:right w:val="nil"/>
            </w:tcBorders>
            <w:shd w:val="clear" w:color="auto" w:fill="auto"/>
            <w:vAlign w:val="center"/>
          </w:tcPr>
          <w:p w14:paraId="5968E407"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2800BAC2" w14:textId="77777777" w:rsidR="00132C60" w:rsidRPr="00A22A66" w:rsidRDefault="00132C60" w:rsidP="000D11DF">
            <w:pPr>
              <w:pStyle w:val="Texto"/>
              <w:spacing w:before="40" w:after="40"/>
              <w:ind w:firstLine="0"/>
              <w:rPr>
                <w:b/>
                <w:bCs/>
                <w:color w:val="000000"/>
                <w:sz w:val="16"/>
                <w:lang w:eastAsia="es-MX"/>
              </w:rPr>
            </w:pPr>
          </w:p>
        </w:tc>
      </w:tr>
      <w:tr w:rsidR="00132C60" w:rsidRPr="00A22A66" w14:paraId="624E1B8D" w14:textId="77777777" w:rsidTr="000D11DF">
        <w:trPr>
          <w:trHeight w:val="20"/>
        </w:trPr>
        <w:tc>
          <w:tcPr>
            <w:tcW w:w="3333" w:type="pct"/>
            <w:tcBorders>
              <w:top w:val="nil"/>
              <w:left w:val="nil"/>
              <w:bottom w:val="nil"/>
              <w:right w:val="nil"/>
            </w:tcBorders>
            <w:shd w:val="clear" w:color="auto" w:fill="auto"/>
            <w:vAlign w:val="center"/>
          </w:tcPr>
          <w:p w14:paraId="687F4F45"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a)</w:t>
            </w:r>
            <w:r w:rsidRPr="00A22A66">
              <w:rPr>
                <w:color w:val="000000"/>
                <w:sz w:val="16"/>
                <w:lang w:eastAsia="es-MX"/>
              </w:rPr>
              <w:t xml:space="preserve"> Gasolina menor a 91 octanos:</w:t>
            </w:r>
          </w:p>
        </w:tc>
        <w:tc>
          <w:tcPr>
            <w:tcW w:w="1667" w:type="pct"/>
            <w:vAlign w:val="center"/>
          </w:tcPr>
          <w:p w14:paraId="77110086"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1.312</w:t>
            </w:r>
          </w:p>
        </w:tc>
      </w:tr>
      <w:tr w:rsidR="00132C60" w:rsidRPr="00A22A66" w14:paraId="35D21610" w14:textId="77777777" w:rsidTr="000D11DF">
        <w:trPr>
          <w:trHeight w:val="20"/>
        </w:trPr>
        <w:tc>
          <w:tcPr>
            <w:tcW w:w="3333" w:type="pct"/>
            <w:tcBorders>
              <w:top w:val="nil"/>
              <w:left w:val="nil"/>
              <w:bottom w:val="nil"/>
              <w:right w:val="nil"/>
            </w:tcBorders>
            <w:shd w:val="clear" w:color="auto" w:fill="auto"/>
            <w:vAlign w:val="center"/>
          </w:tcPr>
          <w:p w14:paraId="6983C843"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b)</w:t>
            </w:r>
            <w:r w:rsidRPr="00A22A66">
              <w:rPr>
                <w:color w:val="000000"/>
                <w:sz w:val="16"/>
                <w:lang w:eastAsia="es-MX"/>
              </w:rPr>
              <w:t xml:space="preserve"> Gasolina mayor o igual a 91 octanos:</w:t>
            </w:r>
          </w:p>
        </w:tc>
        <w:tc>
          <w:tcPr>
            <w:tcW w:w="1667" w:type="pct"/>
            <w:vAlign w:val="center"/>
          </w:tcPr>
          <w:p w14:paraId="7FA69C96"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1.379</w:t>
            </w:r>
          </w:p>
        </w:tc>
      </w:tr>
    </w:tbl>
    <w:p w14:paraId="57A5291F" w14:textId="77777777" w:rsidR="00132C60" w:rsidRPr="00A22A66" w:rsidRDefault="00132C60" w:rsidP="00132C60">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4"/>
        <w:gridCol w:w="2948"/>
      </w:tblGrid>
      <w:tr w:rsidR="00132C60" w:rsidRPr="00A22A66" w14:paraId="6051E9F4" w14:textId="77777777" w:rsidTr="000D11DF">
        <w:trPr>
          <w:trHeight w:val="20"/>
        </w:trPr>
        <w:tc>
          <w:tcPr>
            <w:tcW w:w="5000" w:type="pct"/>
            <w:gridSpan w:val="2"/>
            <w:tcBorders>
              <w:top w:val="nil"/>
              <w:left w:val="nil"/>
              <w:bottom w:val="nil"/>
              <w:right w:val="nil"/>
            </w:tcBorders>
            <w:shd w:val="clear" w:color="000000" w:fill="D9D9D9"/>
            <w:vAlign w:val="center"/>
          </w:tcPr>
          <w:p w14:paraId="762764C6"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Zona III</w:t>
            </w:r>
          </w:p>
        </w:tc>
      </w:tr>
      <w:tr w:rsidR="00132C60" w:rsidRPr="00A22A66" w14:paraId="424631CE" w14:textId="77777777" w:rsidTr="000D11DF">
        <w:trPr>
          <w:trHeight w:val="20"/>
        </w:trPr>
        <w:tc>
          <w:tcPr>
            <w:tcW w:w="5000" w:type="pct"/>
            <w:gridSpan w:val="2"/>
            <w:tcBorders>
              <w:top w:val="nil"/>
              <w:left w:val="nil"/>
              <w:bottom w:val="double" w:sz="6" w:space="0" w:color="auto"/>
              <w:right w:val="nil"/>
            </w:tcBorders>
            <w:shd w:val="clear" w:color="auto" w:fill="auto"/>
            <w:vAlign w:val="center"/>
          </w:tcPr>
          <w:p w14:paraId="41891061"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Municipios de Ocosingo y Palenque del Estado de Chiapas</w:t>
            </w:r>
          </w:p>
        </w:tc>
      </w:tr>
      <w:tr w:rsidR="00132C60" w:rsidRPr="00A22A66" w14:paraId="4ADE878B" w14:textId="77777777" w:rsidTr="000D11DF">
        <w:trPr>
          <w:trHeight w:val="20"/>
        </w:trPr>
        <w:tc>
          <w:tcPr>
            <w:tcW w:w="3333" w:type="pct"/>
            <w:tcBorders>
              <w:top w:val="nil"/>
              <w:left w:val="nil"/>
              <w:bottom w:val="nil"/>
              <w:right w:val="nil"/>
            </w:tcBorders>
            <w:shd w:val="clear" w:color="auto" w:fill="auto"/>
            <w:vAlign w:val="center"/>
          </w:tcPr>
          <w:p w14:paraId="19F17A23"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5FE7636F" w14:textId="77777777" w:rsidR="00132C60" w:rsidRPr="00A22A66" w:rsidRDefault="00132C60" w:rsidP="000D11DF">
            <w:pPr>
              <w:pStyle w:val="Texto"/>
              <w:spacing w:before="40" w:after="40"/>
              <w:ind w:firstLine="0"/>
              <w:rPr>
                <w:b/>
                <w:bCs/>
                <w:color w:val="000000"/>
                <w:sz w:val="16"/>
                <w:lang w:eastAsia="es-MX"/>
              </w:rPr>
            </w:pPr>
          </w:p>
        </w:tc>
      </w:tr>
      <w:tr w:rsidR="00132C60" w:rsidRPr="00A22A66" w14:paraId="7B318292" w14:textId="77777777" w:rsidTr="000D11DF">
        <w:trPr>
          <w:trHeight w:val="20"/>
        </w:trPr>
        <w:tc>
          <w:tcPr>
            <w:tcW w:w="3333" w:type="pct"/>
            <w:tcBorders>
              <w:top w:val="nil"/>
              <w:left w:val="nil"/>
              <w:bottom w:val="nil"/>
              <w:right w:val="nil"/>
            </w:tcBorders>
            <w:shd w:val="clear" w:color="auto" w:fill="auto"/>
            <w:vAlign w:val="center"/>
          </w:tcPr>
          <w:p w14:paraId="5602C0C1"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a)</w:t>
            </w:r>
            <w:r w:rsidRPr="00A22A66">
              <w:rPr>
                <w:color w:val="000000"/>
                <w:sz w:val="16"/>
                <w:lang w:eastAsia="es-MX"/>
              </w:rPr>
              <w:t xml:space="preserve"> Gasolina menor a 91 octanos:</w:t>
            </w:r>
          </w:p>
        </w:tc>
        <w:tc>
          <w:tcPr>
            <w:tcW w:w="1667" w:type="pct"/>
            <w:vAlign w:val="center"/>
          </w:tcPr>
          <w:p w14:paraId="42A97D1C"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1.716</w:t>
            </w:r>
          </w:p>
        </w:tc>
      </w:tr>
      <w:tr w:rsidR="00132C60" w:rsidRPr="00A22A66" w14:paraId="4BFF713B" w14:textId="77777777" w:rsidTr="000D11DF">
        <w:trPr>
          <w:trHeight w:val="20"/>
        </w:trPr>
        <w:tc>
          <w:tcPr>
            <w:tcW w:w="3333" w:type="pct"/>
            <w:tcBorders>
              <w:top w:val="nil"/>
              <w:left w:val="nil"/>
              <w:bottom w:val="nil"/>
              <w:right w:val="nil"/>
            </w:tcBorders>
            <w:shd w:val="clear" w:color="auto" w:fill="auto"/>
            <w:vAlign w:val="center"/>
          </w:tcPr>
          <w:p w14:paraId="356B0E5B"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b)</w:t>
            </w:r>
            <w:r w:rsidRPr="00A22A66">
              <w:rPr>
                <w:color w:val="000000"/>
                <w:sz w:val="16"/>
                <w:lang w:eastAsia="es-MX"/>
              </w:rPr>
              <w:t xml:space="preserve"> Gasolina mayor o igual a 91 octanos:</w:t>
            </w:r>
          </w:p>
        </w:tc>
        <w:tc>
          <w:tcPr>
            <w:tcW w:w="1667" w:type="pct"/>
            <w:vAlign w:val="center"/>
          </w:tcPr>
          <w:p w14:paraId="67128183"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1.745</w:t>
            </w:r>
          </w:p>
        </w:tc>
      </w:tr>
    </w:tbl>
    <w:p w14:paraId="21A7BAD4" w14:textId="77777777" w:rsidR="00132C60" w:rsidRPr="00A22A66" w:rsidRDefault="00132C60" w:rsidP="00132C60">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4"/>
        <w:gridCol w:w="2948"/>
      </w:tblGrid>
      <w:tr w:rsidR="00132C60" w:rsidRPr="00A22A66" w14:paraId="1D9598DE" w14:textId="77777777" w:rsidTr="000D11DF">
        <w:trPr>
          <w:trHeight w:val="20"/>
        </w:trPr>
        <w:tc>
          <w:tcPr>
            <w:tcW w:w="5000" w:type="pct"/>
            <w:gridSpan w:val="2"/>
            <w:tcBorders>
              <w:top w:val="nil"/>
              <w:left w:val="nil"/>
              <w:bottom w:val="nil"/>
              <w:right w:val="nil"/>
            </w:tcBorders>
            <w:shd w:val="clear" w:color="000000" w:fill="D9D9D9"/>
            <w:vAlign w:val="center"/>
          </w:tcPr>
          <w:p w14:paraId="3AB71B0D"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lastRenderedPageBreak/>
              <w:t>Zona IV</w:t>
            </w:r>
          </w:p>
        </w:tc>
      </w:tr>
      <w:tr w:rsidR="00132C60" w:rsidRPr="00A22A66" w14:paraId="62AE1CDF" w14:textId="77777777" w:rsidTr="000D11DF">
        <w:trPr>
          <w:trHeight w:val="20"/>
        </w:trPr>
        <w:tc>
          <w:tcPr>
            <w:tcW w:w="5000" w:type="pct"/>
            <w:gridSpan w:val="2"/>
            <w:tcBorders>
              <w:top w:val="nil"/>
              <w:left w:val="nil"/>
              <w:bottom w:val="double" w:sz="6" w:space="0" w:color="auto"/>
              <w:right w:val="nil"/>
            </w:tcBorders>
            <w:shd w:val="clear" w:color="auto" w:fill="auto"/>
            <w:vAlign w:val="center"/>
          </w:tcPr>
          <w:p w14:paraId="0F1639A5"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Municipios de Marqués de Comillas y Benemérito de las Américas del Estado de Chiapas</w:t>
            </w:r>
          </w:p>
        </w:tc>
      </w:tr>
      <w:tr w:rsidR="00132C60" w:rsidRPr="00A22A66" w14:paraId="3C9950B0" w14:textId="77777777" w:rsidTr="000D11DF">
        <w:trPr>
          <w:trHeight w:val="20"/>
        </w:trPr>
        <w:tc>
          <w:tcPr>
            <w:tcW w:w="3333" w:type="pct"/>
            <w:tcBorders>
              <w:top w:val="nil"/>
              <w:left w:val="nil"/>
              <w:bottom w:val="nil"/>
              <w:right w:val="nil"/>
            </w:tcBorders>
            <w:shd w:val="clear" w:color="auto" w:fill="auto"/>
            <w:vAlign w:val="center"/>
          </w:tcPr>
          <w:p w14:paraId="4C967E1D"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4470F5FA" w14:textId="77777777" w:rsidR="00132C60" w:rsidRPr="00A22A66" w:rsidRDefault="00132C60" w:rsidP="000D11DF">
            <w:pPr>
              <w:pStyle w:val="Texto"/>
              <w:spacing w:before="40" w:after="40"/>
              <w:ind w:firstLine="0"/>
              <w:rPr>
                <w:b/>
                <w:bCs/>
                <w:color w:val="000000"/>
                <w:sz w:val="16"/>
                <w:lang w:eastAsia="es-MX"/>
              </w:rPr>
            </w:pPr>
          </w:p>
        </w:tc>
      </w:tr>
      <w:tr w:rsidR="00132C60" w:rsidRPr="00A22A66" w14:paraId="5C62C943" w14:textId="77777777" w:rsidTr="000D11DF">
        <w:trPr>
          <w:trHeight w:val="20"/>
        </w:trPr>
        <w:tc>
          <w:tcPr>
            <w:tcW w:w="3333" w:type="pct"/>
            <w:tcBorders>
              <w:top w:val="nil"/>
              <w:left w:val="nil"/>
              <w:bottom w:val="nil"/>
              <w:right w:val="nil"/>
            </w:tcBorders>
            <w:shd w:val="clear" w:color="auto" w:fill="auto"/>
            <w:vAlign w:val="center"/>
          </w:tcPr>
          <w:p w14:paraId="60B933BF"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a)</w:t>
            </w:r>
            <w:r w:rsidRPr="00A22A66">
              <w:rPr>
                <w:color w:val="000000"/>
                <w:sz w:val="16"/>
                <w:lang w:eastAsia="es-MX"/>
              </w:rPr>
              <w:t xml:space="preserve"> Gasolina menor a 91 octanos:</w:t>
            </w:r>
          </w:p>
        </w:tc>
        <w:tc>
          <w:tcPr>
            <w:tcW w:w="1667" w:type="pct"/>
            <w:vAlign w:val="center"/>
          </w:tcPr>
          <w:p w14:paraId="3C030EFD"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1.836</w:t>
            </w:r>
          </w:p>
        </w:tc>
      </w:tr>
      <w:tr w:rsidR="00132C60" w:rsidRPr="00A22A66" w14:paraId="01E48FBF" w14:textId="77777777" w:rsidTr="000D11DF">
        <w:trPr>
          <w:trHeight w:val="20"/>
        </w:trPr>
        <w:tc>
          <w:tcPr>
            <w:tcW w:w="3333" w:type="pct"/>
            <w:tcBorders>
              <w:top w:val="nil"/>
              <w:left w:val="nil"/>
              <w:bottom w:val="nil"/>
              <w:right w:val="nil"/>
            </w:tcBorders>
            <w:shd w:val="clear" w:color="auto" w:fill="auto"/>
            <w:vAlign w:val="center"/>
          </w:tcPr>
          <w:p w14:paraId="54D008DF"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b)</w:t>
            </w:r>
            <w:r w:rsidRPr="00A22A66">
              <w:rPr>
                <w:color w:val="000000"/>
                <w:sz w:val="16"/>
                <w:lang w:eastAsia="es-MX"/>
              </w:rPr>
              <w:t xml:space="preserve"> Gasolina mayor o igual a 91 octanos:</w:t>
            </w:r>
          </w:p>
        </w:tc>
        <w:tc>
          <w:tcPr>
            <w:tcW w:w="1667" w:type="pct"/>
            <w:vAlign w:val="center"/>
          </w:tcPr>
          <w:p w14:paraId="4BF144AD"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1.904</w:t>
            </w:r>
          </w:p>
        </w:tc>
      </w:tr>
    </w:tbl>
    <w:p w14:paraId="386B3F45" w14:textId="77777777" w:rsidR="00132C60" w:rsidRPr="00A22A66" w:rsidRDefault="00132C60" w:rsidP="00132C60">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4"/>
        <w:gridCol w:w="2948"/>
      </w:tblGrid>
      <w:tr w:rsidR="00132C60" w:rsidRPr="00A22A66" w14:paraId="5D514104" w14:textId="77777777" w:rsidTr="000D11DF">
        <w:trPr>
          <w:trHeight w:val="20"/>
        </w:trPr>
        <w:tc>
          <w:tcPr>
            <w:tcW w:w="5000" w:type="pct"/>
            <w:gridSpan w:val="2"/>
            <w:tcBorders>
              <w:top w:val="nil"/>
              <w:left w:val="nil"/>
              <w:bottom w:val="nil"/>
              <w:right w:val="nil"/>
            </w:tcBorders>
            <w:shd w:val="clear" w:color="000000" w:fill="D9D9D9"/>
            <w:vAlign w:val="center"/>
          </w:tcPr>
          <w:p w14:paraId="05670C58"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Zona V</w:t>
            </w:r>
          </w:p>
        </w:tc>
      </w:tr>
      <w:tr w:rsidR="00132C60" w:rsidRPr="00A22A66" w14:paraId="324B3716" w14:textId="77777777" w:rsidTr="000D11DF">
        <w:trPr>
          <w:trHeight w:val="20"/>
        </w:trPr>
        <w:tc>
          <w:tcPr>
            <w:tcW w:w="5000" w:type="pct"/>
            <w:gridSpan w:val="2"/>
            <w:tcBorders>
              <w:top w:val="nil"/>
              <w:left w:val="nil"/>
              <w:bottom w:val="double" w:sz="6" w:space="0" w:color="auto"/>
              <w:right w:val="nil"/>
            </w:tcBorders>
            <w:shd w:val="clear" w:color="auto" w:fill="auto"/>
            <w:vAlign w:val="center"/>
          </w:tcPr>
          <w:p w14:paraId="11382760"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Municipios de Amatenango de la Frontera, Frontera Comalapa, La Trinitaria, Maravilla Tenejapa y Las Margaritas del Estado de Chiapas</w:t>
            </w:r>
          </w:p>
        </w:tc>
      </w:tr>
      <w:tr w:rsidR="00132C60" w:rsidRPr="00A22A66" w14:paraId="6E0AE694" w14:textId="77777777" w:rsidTr="000D11DF">
        <w:trPr>
          <w:trHeight w:val="20"/>
        </w:trPr>
        <w:tc>
          <w:tcPr>
            <w:tcW w:w="3333" w:type="pct"/>
            <w:tcBorders>
              <w:top w:val="nil"/>
              <w:left w:val="nil"/>
              <w:bottom w:val="nil"/>
              <w:right w:val="nil"/>
            </w:tcBorders>
            <w:shd w:val="clear" w:color="auto" w:fill="auto"/>
            <w:vAlign w:val="center"/>
          </w:tcPr>
          <w:p w14:paraId="0A8D1D17"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62A1A384" w14:textId="77777777" w:rsidR="00132C60" w:rsidRPr="00A22A66" w:rsidRDefault="00132C60" w:rsidP="000D11DF">
            <w:pPr>
              <w:pStyle w:val="Texto"/>
              <w:spacing w:before="40" w:after="40"/>
              <w:ind w:firstLine="0"/>
              <w:rPr>
                <w:b/>
                <w:bCs/>
                <w:color w:val="000000"/>
                <w:sz w:val="16"/>
                <w:lang w:eastAsia="es-MX"/>
              </w:rPr>
            </w:pPr>
          </w:p>
        </w:tc>
      </w:tr>
      <w:tr w:rsidR="00132C60" w:rsidRPr="00A22A66" w14:paraId="07F2749E" w14:textId="77777777" w:rsidTr="000D11DF">
        <w:trPr>
          <w:trHeight w:val="20"/>
        </w:trPr>
        <w:tc>
          <w:tcPr>
            <w:tcW w:w="3333" w:type="pct"/>
            <w:tcBorders>
              <w:top w:val="nil"/>
              <w:left w:val="nil"/>
              <w:bottom w:val="nil"/>
              <w:right w:val="nil"/>
            </w:tcBorders>
            <w:shd w:val="clear" w:color="auto" w:fill="auto"/>
            <w:vAlign w:val="center"/>
          </w:tcPr>
          <w:p w14:paraId="333C9DA0"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a)</w:t>
            </w:r>
            <w:r w:rsidRPr="00A22A66">
              <w:rPr>
                <w:color w:val="000000"/>
                <w:sz w:val="16"/>
                <w:lang w:eastAsia="es-MX"/>
              </w:rPr>
              <w:t xml:space="preserve"> Gasolina menor a 91 octanos:</w:t>
            </w:r>
          </w:p>
        </w:tc>
        <w:tc>
          <w:tcPr>
            <w:tcW w:w="1667" w:type="pct"/>
            <w:vAlign w:val="center"/>
          </w:tcPr>
          <w:p w14:paraId="3777BF4B"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2.549</w:t>
            </w:r>
          </w:p>
        </w:tc>
      </w:tr>
      <w:tr w:rsidR="00132C60" w:rsidRPr="00A22A66" w14:paraId="24A9EF3B" w14:textId="77777777" w:rsidTr="000D11DF">
        <w:trPr>
          <w:trHeight w:val="20"/>
        </w:trPr>
        <w:tc>
          <w:tcPr>
            <w:tcW w:w="3333" w:type="pct"/>
            <w:tcBorders>
              <w:top w:val="nil"/>
              <w:left w:val="nil"/>
              <w:bottom w:val="nil"/>
              <w:right w:val="nil"/>
            </w:tcBorders>
            <w:shd w:val="clear" w:color="auto" w:fill="auto"/>
            <w:vAlign w:val="center"/>
          </w:tcPr>
          <w:p w14:paraId="7B70991A"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b)</w:t>
            </w:r>
            <w:r w:rsidRPr="00A22A66">
              <w:rPr>
                <w:color w:val="000000"/>
                <w:sz w:val="16"/>
                <w:lang w:eastAsia="es-MX"/>
              </w:rPr>
              <w:t xml:space="preserve"> Gasolina mayor o igual a 91 octanos:</w:t>
            </w:r>
          </w:p>
        </w:tc>
        <w:tc>
          <w:tcPr>
            <w:tcW w:w="1667" w:type="pct"/>
            <w:vAlign w:val="center"/>
          </w:tcPr>
          <w:p w14:paraId="29AE7421"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2.306</w:t>
            </w:r>
          </w:p>
        </w:tc>
      </w:tr>
    </w:tbl>
    <w:p w14:paraId="264B6AB9" w14:textId="77777777" w:rsidR="00132C60" w:rsidRPr="00A22A66" w:rsidRDefault="00132C60" w:rsidP="00132C60">
      <w:pPr>
        <w:pStyle w:val="Texto"/>
        <w:spacing w:before="40" w:after="40"/>
        <w:rPr>
          <w:sz w:val="16"/>
        </w:rPr>
      </w:pPr>
    </w:p>
    <w:tbl>
      <w:tblPr>
        <w:tblW w:w="5000" w:type="pct"/>
        <w:tblLayout w:type="fixed"/>
        <w:tblCellMar>
          <w:left w:w="70" w:type="dxa"/>
          <w:right w:w="70" w:type="dxa"/>
        </w:tblCellMar>
        <w:tblLook w:val="04A0" w:firstRow="1" w:lastRow="0" w:firstColumn="1" w:lastColumn="0" w:noHBand="0" w:noVBand="1"/>
      </w:tblPr>
      <w:tblGrid>
        <w:gridCol w:w="5894"/>
        <w:gridCol w:w="2948"/>
      </w:tblGrid>
      <w:tr w:rsidR="00132C60" w:rsidRPr="00A22A66" w14:paraId="5236091E" w14:textId="77777777" w:rsidTr="000D11DF">
        <w:trPr>
          <w:trHeight w:val="20"/>
        </w:trPr>
        <w:tc>
          <w:tcPr>
            <w:tcW w:w="5000" w:type="pct"/>
            <w:gridSpan w:val="2"/>
            <w:tcBorders>
              <w:top w:val="nil"/>
              <w:left w:val="nil"/>
              <w:bottom w:val="nil"/>
              <w:right w:val="nil"/>
            </w:tcBorders>
            <w:shd w:val="clear" w:color="000000" w:fill="D9D9D9"/>
            <w:vAlign w:val="center"/>
          </w:tcPr>
          <w:p w14:paraId="364A0F34"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Zona VI</w:t>
            </w:r>
          </w:p>
        </w:tc>
      </w:tr>
      <w:tr w:rsidR="00132C60" w:rsidRPr="00A22A66" w14:paraId="2DB49505" w14:textId="77777777" w:rsidTr="000D11DF">
        <w:trPr>
          <w:trHeight w:val="20"/>
        </w:trPr>
        <w:tc>
          <w:tcPr>
            <w:tcW w:w="5000" w:type="pct"/>
            <w:gridSpan w:val="2"/>
            <w:tcBorders>
              <w:top w:val="nil"/>
              <w:left w:val="nil"/>
              <w:bottom w:val="double" w:sz="6" w:space="0" w:color="auto"/>
              <w:right w:val="nil"/>
            </w:tcBorders>
            <w:shd w:val="clear" w:color="auto" w:fill="auto"/>
            <w:vAlign w:val="center"/>
          </w:tcPr>
          <w:p w14:paraId="7E08ABD2"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Municipios de Suchiate, Frontera Hidalgo, Metapa, Tuxtla Chico, Unión Juárez, Cacahoatán, Tapachula, Motozintla y Mazapa de Madero del Estado de Chiapas</w:t>
            </w:r>
          </w:p>
        </w:tc>
      </w:tr>
      <w:tr w:rsidR="00132C60" w:rsidRPr="00A22A66" w14:paraId="059F1E28" w14:textId="77777777" w:rsidTr="000D11DF">
        <w:trPr>
          <w:trHeight w:val="20"/>
        </w:trPr>
        <w:tc>
          <w:tcPr>
            <w:tcW w:w="3333" w:type="pct"/>
            <w:tcBorders>
              <w:top w:val="nil"/>
              <w:left w:val="nil"/>
              <w:bottom w:val="nil"/>
              <w:right w:val="nil"/>
            </w:tcBorders>
            <w:shd w:val="clear" w:color="auto" w:fill="auto"/>
            <w:vAlign w:val="center"/>
          </w:tcPr>
          <w:p w14:paraId="03C5B2DE"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Monto del estímulo:</w:t>
            </w:r>
          </w:p>
        </w:tc>
        <w:tc>
          <w:tcPr>
            <w:tcW w:w="1667" w:type="pct"/>
            <w:tcBorders>
              <w:top w:val="nil"/>
              <w:left w:val="nil"/>
              <w:bottom w:val="nil"/>
              <w:right w:val="nil"/>
            </w:tcBorders>
            <w:shd w:val="clear" w:color="auto" w:fill="auto"/>
            <w:vAlign w:val="center"/>
          </w:tcPr>
          <w:p w14:paraId="526B9E27" w14:textId="77777777" w:rsidR="00132C60" w:rsidRPr="00A22A66" w:rsidRDefault="00132C60" w:rsidP="000D11DF">
            <w:pPr>
              <w:pStyle w:val="Texto"/>
              <w:spacing w:before="40" w:after="40"/>
              <w:ind w:firstLine="0"/>
              <w:rPr>
                <w:b/>
                <w:bCs/>
                <w:color w:val="000000"/>
                <w:sz w:val="16"/>
                <w:lang w:eastAsia="es-MX"/>
              </w:rPr>
            </w:pPr>
          </w:p>
        </w:tc>
      </w:tr>
      <w:tr w:rsidR="00132C60" w:rsidRPr="00A22A66" w14:paraId="2D21F444" w14:textId="77777777" w:rsidTr="000D11DF">
        <w:trPr>
          <w:trHeight w:val="20"/>
        </w:trPr>
        <w:tc>
          <w:tcPr>
            <w:tcW w:w="3333" w:type="pct"/>
            <w:tcBorders>
              <w:top w:val="nil"/>
              <w:left w:val="nil"/>
              <w:bottom w:val="nil"/>
              <w:right w:val="nil"/>
            </w:tcBorders>
            <w:shd w:val="clear" w:color="auto" w:fill="auto"/>
            <w:vAlign w:val="center"/>
          </w:tcPr>
          <w:p w14:paraId="44548BCB"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a)</w:t>
            </w:r>
            <w:r w:rsidRPr="00A22A66">
              <w:rPr>
                <w:color w:val="000000"/>
                <w:sz w:val="16"/>
                <w:lang w:eastAsia="es-MX"/>
              </w:rPr>
              <w:t xml:space="preserve"> Gasolina menor a 91 octanos:</w:t>
            </w:r>
          </w:p>
        </w:tc>
        <w:tc>
          <w:tcPr>
            <w:tcW w:w="1667" w:type="pct"/>
            <w:vAlign w:val="center"/>
          </w:tcPr>
          <w:p w14:paraId="7A83CB7A"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1.504</w:t>
            </w:r>
          </w:p>
        </w:tc>
      </w:tr>
      <w:tr w:rsidR="00132C60" w:rsidRPr="00A22A66" w14:paraId="561A60E3" w14:textId="77777777" w:rsidTr="000D11DF">
        <w:trPr>
          <w:trHeight w:val="20"/>
        </w:trPr>
        <w:tc>
          <w:tcPr>
            <w:tcW w:w="3333" w:type="pct"/>
            <w:tcBorders>
              <w:top w:val="nil"/>
              <w:left w:val="nil"/>
              <w:bottom w:val="nil"/>
              <w:right w:val="nil"/>
            </w:tcBorders>
            <w:shd w:val="clear" w:color="auto" w:fill="auto"/>
            <w:vAlign w:val="center"/>
          </w:tcPr>
          <w:p w14:paraId="0AA4B2BE" w14:textId="77777777" w:rsidR="00132C60" w:rsidRPr="00A22A66" w:rsidRDefault="00132C60" w:rsidP="000D11DF">
            <w:pPr>
              <w:pStyle w:val="Texto"/>
              <w:spacing w:before="40" w:after="40"/>
              <w:ind w:firstLine="0"/>
              <w:rPr>
                <w:b/>
                <w:bCs/>
                <w:color w:val="000000"/>
                <w:sz w:val="16"/>
                <w:lang w:eastAsia="es-MX"/>
              </w:rPr>
            </w:pPr>
            <w:r w:rsidRPr="00A22A66">
              <w:rPr>
                <w:b/>
                <w:bCs/>
                <w:color w:val="000000"/>
                <w:sz w:val="16"/>
                <w:lang w:eastAsia="es-MX"/>
              </w:rPr>
              <w:t>b)</w:t>
            </w:r>
            <w:r w:rsidRPr="00A22A66">
              <w:rPr>
                <w:color w:val="000000"/>
                <w:sz w:val="16"/>
                <w:lang w:eastAsia="es-MX"/>
              </w:rPr>
              <w:t xml:space="preserve"> Gasolina mayor o igual a 91 octanos:</w:t>
            </w:r>
          </w:p>
        </w:tc>
        <w:tc>
          <w:tcPr>
            <w:tcW w:w="1667" w:type="pct"/>
            <w:vAlign w:val="center"/>
          </w:tcPr>
          <w:p w14:paraId="6B69D4EC" w14:textId="77777777" w:rsidR="00132C60" w:rsidRPr="00A22A66" w:rsidRDefault="00132C60" w:rsidP="000D11DF">
            <w:pPr>
              <w:pStyle w:val="Texto"/>
              <w:spacing w:before="40" w:after="40"/>
              <w:ind w:firstLine="0"/>
              <w:jc w:val="center"/>
              <w:rPr>
                <w:b/>
                <w:bCs/>
                <w:color w:val="000000"/>
                <w:sz w:val="16"/>
                <w:lang w:eastAsia="es-MX"/>
              </w:rPr>
            </w:pPr>
            <w:r w:rsidRPr="00A22A66">
              <w:rPr>
                <w:b/>
                <w:bCs/>
                <w:color w:val="000000"/>
                <w:sz w:val="16"/>
                <w:lang w:eastAsia="es-MX"/>
              </w:rPr>
              <w:t>1.167</w:t>
            </w:r>
          </w:p>
        </w:tc>
      </w:tr>
    </w:tbl>
    <w:p w14:paraId="4D03C7BF" w14:textId="77777777" w:rsidR="00132C60" w:rsidRDefault="00132C60" w:rsidP="00132C60">
      <w:pPr>
        <w:pStyle w:val="Texto"/>
        <w:rPr>
          <w:b/>
          <w:bCs/>
          <w:color w:val="000000"/>
          <w:lang w:eastAsia="es-MX"/>
        </w:rPr>
      </w:pPr>
    </w:p>
    <w:p w14:paraId="2512B7B7" w14:textId="77777777" w:rsidR="00132C60" w:rsidRDefault="00132C60" w:rsidP="00132C60">
      <w:pPr>
        <w:pStyle w:val="ANOTACION"/>
      </w:pPr>
      <w:r w:rsidRPr="00275D43">
        <w:t>TRANSITORIO</w:t>
      </w:r>
    </w:p>
    <w:p w14:paraId="5A1EAC57" w14:textId="77777777" w:rsidR="00132C60" w:rsidRDefault="00132C60" w:rsidP="00132C60">
      <w:pPr>
        <w:pStyle w:val="Texto"/>
      </w:pPr>
      <w:proofErr w:type="gramStart"/>
      <w:r w:rsidRPr="00275D43">
        <w:rPr>
          <w:b/>
        </w:rPr>
        <w:t>ÚNICO.-</w:t>
      </w:r>
      <w:proofErr w:type="gramEnd"/>
      <w:r w:rsidRPr="00275D43">
        <w:t xml:space="preserve"> El presente Acuerdo entrará en vigor al día siguiente de su publicación en el Diario Oficial </w:t>
      </w:r>
      <w:r>
        <w:t xml:space="preserve"> </w:t>
      </w:r>
      <w:r w:rsidRPr="00275D43">
        <w:t>de la Federación.</w:t>
      </w:r>
    </w:p>
    <w:p w14:paraId="65C65CAC" w14:textId="77777777" w:rsidR="00132C60" w:rsidRPr="00275D43" w:rsidRDefault="00132C60" w:rsidP="00132C60">
      <w:pPr>
        <w:pStyle w:val="Texto"/>
      </w:pPr>
      <w:r w:rsidRPr="00275D43">
        <w:rPr>
          <w:szCs w:val="24"/>
        </w:rPr>
        <w:t>Ciudad de México, a 13 de febrero de 2025</w:t>
      </w:r>
      <w:r>
        <w:rPr>
          <w:szCs w:val="24"/>
        </w:rPr>
        <w:t xml:space="preserve">.- </w:t>
      </w:r>
      <w:r w:rsidRPr="00275D43">
        <w:rPr>
          <w:szCs w:val="24"/>
        </w:rPr>
        <w:t>Con fundamento en el artículo Primero, tercer párrafo, del Decreto por el que se establecen estímulos fiscales a la enajenación de los combustibles que se mencionan en la frontera sur de los Estados Unidos Mexicanos, en suplencia del C. Subsecretari</w:t>
      </w:r>
      <w:r>
        <w:rPr>
          <w:szCs w:val="24"/>
        </w:rPr>
        <w:t xml:space="preserve">o de Hacienda y Crédito Público, </w:t>
      </w:r>
      <w:r w:rsidRPr="00A22A66">
        <w:rPr>
          <w:szCs w:val="24"/>
        </w:rPr>
        <w:t>el Titular de la Unidad de Política de Ingresos No Tributarios y Sobre Hidrocarburos</w:t>
      </w:r>
      <w:r>
        <w:rPr>
          <w:szCs w:val="24"/>
        </w:rPr>
        <w:t xml:space="preserve">, </w:t>
      </w:r>
      <w:r w:rsidRPr="00275D43">
        <w:rPr>
          <w:b/>
          <w:szCs w:val="24"/>
        </w:rPr>
        <w:t xml:space="preserve">Adán Enrique García </w:t>
      </w:r>
      <w:proofErr w:type="gramStart"/>
      <w:r w:rsidRPr="00275D43">
        <w:rPr>
          <w:b/>
          <w:szCs w:val="24"/>
        </w:rPr>
        <w:t>Ramos</w:t>
      </w:r>
      <w:r>
        <w:rPr>
          <w:szCs w:val="24"/>
        </w:rPr>
        <w:t>.-</w:t>
      </w:r>
      <w:proofErr w:type="gramEnd"/>
      <w:r>
        <w:rPr>
          <w:szCs w:val="24"/>
        </w:rPr>
        <w:t xml:space="preserve"> Rúbrica.</w:t>
      </w:r>
    </w:p>
    <w:p w14:paraId="244D89E2" w14:textId="77777777" w:rsidR="006911F3" w:rsidRDefault="006911F3"/>
    <w:sectPr w:rsidR="006911F3" w:rsidSect="00132C60">
      <w:headerReference w:type="even" r:id="rId4"/>
      <w:headerReference w:type="default" r:id="rId5"/>
      <w:pgSz w:w="12240" w:h="15840" w:code="1"/>
      <w:pgMar w:top="1152" w:right="1699" w:bottom="1296" w:left="1699" w:header="706" w:footer="706"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0EE0" w14:textId="77777777" w:rsidR="00132C60" w:rsidRPr="000E4910" w:rsidRDefault="00132C60" w:rsidP="00511B5D">
    <w:pPr>
      <w:pStyle w:val="Fechas"/>
      <w:rPr>
        <w:rFonts w:cs="Times New Roman"/>
      </w:rPr>
    </w:pPr>
    <w:r>
      <w:rPr>
        <w:rFonts w:cs="Times New Roman"/>
      </w:rPr>
      <w:t xml:space="preserve"> </w:t>
    </w:r>
    <w:r w:rsidRPr="000E4910">
      <w:rPr>
        <w:rFonts w:cs="Times New Roman"/>
      </w:rPr>
      <w:tab/>
      <w:t>DIARIO OFICIAL</w:t>
    </w:r>
    <w:r w:rsidRPr="000E4910">
      <w:rPr>
        <w:rFonts w:cs="Times New Roman"/>
      </w:rPr>
      <w:tab/>
    </w:r>
    <w:proofErr w:type="gramStart"/>
    <w:r w:rsidRPr="000E4910">
      <w:rPr>
        <w:rFonts w:cs="Times New Roman"/>
      </w:rPr>
      <w:t>Viernes</w:t>
    </w:r>
    <w:proofErr w:type="gramEnd"/>
    <w:r w:rsidRPr="000E4910">
      <w:rPr>
        <w:rFonts w:cs="Times New Roman"/>
      </w:rPr>
      <w:t xml:space="preserve"> 14 de febrero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9153" w14:textId="77777777" w:rsidR="00132C60" w:rsidRPr="000E4910" w:rsidRDefault="00132C60" w:rsidP="00511B5D">
    <w:pPr>
      <w:pStyle w:val="Fechas"/>
      <w:rPr>
        <w:rFonts w:cs="Times New Roman"/>
      </w:rPr>
    </w:pPr>
    <w:r w:rsidRPr="000E4910">
      <w:rPr>
        <w:rFonts w:cs="Times New Roman"/>
      </w:rPr>
      <w:t>Viernes 14 de febrero de 2025</w:t>
    </w:r>
    <w:r w:rsidRPr="000E4910">
      <w:rPr>
        <w:rFonts w:cs="Times New Roman"/>
      </w:rPr>
      <w:tab/>
      <w:t>DIARIO OFICIAL</w:t>
    </w:r>
    <w:r w:rsidRPr="000E4910">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60"/>
    <w:rsid w:val="00132C60"/>
    <w:rsid w:val="006911F3"/>
    <w:rsid w:val="00B469D6"/>
    <w:rsid w:val="00FF4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5B13"/>
  <w15:chartTrackingRefBased/>
  <w15:docId w15:val="{FFBE24B9-245C-42E1-AD83-6A9197DA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60"/>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132C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132C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132C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132C6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132C60"/>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132C60"/>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132C60"/>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132C60"/>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132C60"/>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2C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2C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2C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2C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2C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2C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2C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2C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2C60"/>
    <w:rPr>
      <w:rFonts w:eastAsiaTheme="majorEastAsia" w:cstheme="majorBidi"/>
      <w:color w:val="272727" w:themeColor="text1" w:themeTint="D8"/>
    </w:rPr>
  </w:style>
  <w:style w:type="paragraph" w:styleId="Ttulo">
    <w:name w:val="Title"/>
    <w:basedOn w:val="Normal"/>
    <w:next w:val="Normal"/>
    <w:link w:val="TtuloCar"/>
    <w:uiPriority w:val="10"/>
    <w:qFormat/>
    <w:rsid w:val="00132C60"/>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132C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2C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132C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2C60"/>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132C60"/>
    <w:rPr>
      <w:i/>
      <w:iCs/>
      <w:color w:val="404040" w:themeColor="text1" w:themeTint="BF"/>
    </w:rPr>
  </w:style>
  <w:style w:type="paragraph" w:styleId="Prrafodelista">
    <w:name w:val="List Paragraph"/>
    <w:basedOn w:val="Normal"/>
    <w:uiPriority w:val="34"/>
    <w:qFormat/>
    <w:rsid w:val="00132C60"/>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132C60"/>
    <w:rPr>
      <w:i/>
      <w:iCs/>
      <w:color w:val="0F4761" w:themeColor="accent1" w:themeShade="BF"/>
    </w:rPr>
  </w:style>
  <w:style w:type="paragraph" w:styleId="Citadestacada">
    <w:name w:val="Intense Quote"/>
    <w:basedOn w:val="Normal"/>
    <w:next w:val="Normal"/>
    <w:link w:val="CitadestacadaCar"/>
    <w:uiPriority w:val="30"/>
    <w:qFormat/>
    <w:rsid w:val="00132C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132C60"/>
    <w:rPr>
      <w:i/>
      <w:iCs/>
      <w:color w:val="0F4761" w:themeColor="accent1" w:themeShade="BF"/>
    </w:rPr>
  </w:style>
  <w:style w:type="character" w:styleId="Referenciaintensa">
    <w:name w:val="Intense Reference"/>
    <w:basedOn w:val="Fuentedeprrafopredeter"/>
    <w:uiPriority w:val="32"/>
    <w:qFormat/>
    <w:rsid w:val="00132C60"/>
    <w:rPr>
      <w:b/>
      <w:bCs/>
      <w:smallCaps/>
      <w:color w:val="0F4761" w:themeColor="accent1" w:themeShade="BF"/>
      <w:spacing w:val="5"/>
    </w:rPr>
  </w:style>
  <w:style w:type="paragraph" w:customStyle="1" w:styleId="Texto">
    <w:name w:val="Texto"/>
    <w:basedOn w:val="Normal"/>
    <w:link w:val="TextoCar"/>
    <w:qFormat/>
    <w:rsid w:val="00132C60"/>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132C6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132C60"/>
    <w:pPr>
      <w:spacing w:before="101" w:after="101" w:line="216" w:lineRule="atLeast"/>
      <w:jc w:val="center"/>
    </w:pPr>
    <w:rPr>
      <w:b/>
      <w:sz w:val="18"/>
      <w:szCs w:val="20"/>
      <w:lang w:val="es-ES_tradnl"/>
    </w:rPr>
  </w:style>
  <w:style w:type="paragraph" w:customStyle="1" w:styleId="Titulo1">
    <w:name w:val="Titulo 1"/>
    <w:basedOn w:val="Texto"/>
    <w:link w:val="Titulo1Car"/>
    <w:rsid w:val="00132C6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32C60"/>
    <w:pPr>
      <w:pBdr>
        <w:top w:val="double" w:sz="6" w:space="1" w:color="auto"/>
      </w:pBdr>
      <w:spacing w:line="240" w:lineRule="auto"/>
      <w:ind w:firstLine="0"/>
      <w:outlineLvl w:val="1"/>
    </w:pPr>
    <w:rPr>
      <w:lang w:val="es-MX"/>
    </w:rPr>
  </w:style>
  <w:style w:type="character" w:customStyle="1" w:styleId="TextoCar">
    <w:name w:val="Texto Car"/>
    <w:link w:val="Texto"/>
    <w:locked/>
    <w:rsid w:val="00132C60"/>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132C60"/>
    <w:rPr>
      <w:rFonts w:ascii="Times New Roman" w:eastAsia="Times New Roman" w:hAnsi="Times New Roman" w:cs="Times New Roman"/>
      <w:b/>
      <w:kern w:val="0"/>
      <w:sz w:val="18"/>
      <w:szCs w:val="20"/>
      <w:lang w:val="es-ES_tradnl" w:eastAsia="es-ES"/>
      <w14:ligatures w14:val="none"/>
    </w:rPr>
  </w:style>
  <w:style w:type="character" w:customStyle="1" w:styleId="Titulo1Car">
    <w:name w:val="Titulo 1 Car"/>
    <w:link w:val="Titulo1"/>
    <w:locked/>
    <w:rsid w:val="00132C60"/>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132C60"/>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3736</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2025-03-03T14:03:00Z</dcterms:created>
  <dcterms:modified xsi:type="dcterms:W3CDTF">2025-03-03T14:04:00Z</dcterms:modified>
</cp:coreProperties>
</file>